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Reza Davari Ardakani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Born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July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1933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(age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Ardakan, Iran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Occupation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President of Academy of Sciences of Iran (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1998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2023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Relatives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Mohammad Jafar Eghbal (son-in-law)[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]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Awards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Order of Knowledge (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 class)[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]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Philosophical work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Era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 century Philosophy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Region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Western philosophy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School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Continental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Main interests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Heidegger's philosophy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Occidentalism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Notable ideas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Criticism of the West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Duration: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18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minutes and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31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seconds.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18:31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One or more poems read by Reza Davari Ardakani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Reza Davari Ardakani (Persian: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رضا داوری اردکانی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; born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July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1933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in Ardakan) is an Iranian philosopher who was influenced by Martin Heidegger, and a distinguished emeritus professor of philosophy at the University of Tehran. He is also the current member of the Iranian Academy of Sciences and former President of Academy from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1998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to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2023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He is known for his works on Intellect, politics, and underdevelopment.[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]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Abdolhossein Nikgohar, Reza Davari and Siroos Sahami, Tomb of Sadegh Hedayat, Père Lachaise Cemetery, Paris, April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1974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Life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Davari received primary and secondary education in Ardakan, and after finishing school became a teacher in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1951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In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1954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he entered the University of Tehran as an undergraduate, gaining a BA and in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1967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PhD in philosophy.[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] He is currently professor Emeritus of philosophy at Tehran University. From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1979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1981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he was dean at the faculty of literature and humanities, University of Tehran, and the head of Iranian National Commission for UNESCO from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1979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1982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Davari was the editor-in-chief of Farhang Journal.[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]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Davari and Abdolkarim Soroush have engaged in a series of philosophical debates in post-revolutionary Iran.[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][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]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