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4"/>
          <w:position w:val="0"/>
          <w:sz w:val="24"/>
          <w:shd w:fill="auto" w:val="clear"/>
        </w:rPr>
        <w:t xml:space="preserve">Level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 as the consciousness of mass has been reduced to the lowest level by the synarchy and their multifarious modes of destruction (alcohol; drugs; stimulants; the music and art of subhumanity),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countervailing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oppositionally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entropy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'Time-flow',</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counter-force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leftward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spinning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swastika,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counter-current which works against the current of disintegration of Demiurgic Time-flow. This is the higher vibration or rather acceleration of Time-flow within the closed system of the entity, a 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achieved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appropriate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 the closest descendant of the Hyperboreans.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state of elevation attainable by the Aryan is an inherent, one inherent in their being that 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penetrate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illusion they are immersed in and this manifested not through any initiatic practice of, 'grades' and 'degrees'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constructs,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religions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state of consciousness, an inner stillness that situates one in the state of eternity, of </w:t>
      </w:r>
      <w:r>
        <w:rPr>
          <w:rFonts w:ascii="Calibri" w:hAnsi="Calibri" w:cs="Calibri" w:eastAsia="Calibri"/>
          <w:color w:val="auto"/>
          <w:spacing w:val="-2"/>
          <w:position w:val="0"/>
          <w:sz w:val="24"/>
          <w:shd w:fill="auto" w:val="clear"/>
        </w:rPr>
        <w:t xml:space="preserve">Hyperborea.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lifestyle of asceticism is one such protocol leading toward this state-a divorce from all influences of the degenerate culture and an avoidance of the collective consciousness of lower states and the debased collective-save as a challenge to oneself and indeed as a challenge deliberately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strengthen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degenerate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influences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mob</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their hive mind collective 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2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left-hand path entails a challenging of oneself vis-a-vis phenomena which threaten to tear down and debase and destroy and thereby to strengthen oneself, augment his capacity of resistance against the Demiurge and His legions of slaves who would reduce his level of consciousness from that of Spirit, of an ascetic unemotional state to one of passive contemplation,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'human-all-too-human', shifting his consciousness from Spirit to emotion, the psychical level, from the condition of the black sun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reflecting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mutable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 'mystic' or mundane worldly, the 'hylic', the 'man of clay'; the pasu or beast man governed wholly by the animic principle.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descended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 there should he have 'fallen from grace', not the grace of the Demiurge, of the lower seven heavens but the grace of the black Madonna, of the Virgin of Agartha.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may desire in a passive sense he may do so in a passive sense beyond the aforementioned trials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tribulations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ascetic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left-hand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practice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Immortals of Bach and the harpsichord, of his ascetic ancestral folkish culture-the act which enables, not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Victorian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era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Renaissance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era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classical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revisionism 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folkish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magical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aesthetics;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sites; sounds and practices, a holistic ensemble of spiritual elevation, of the radiation of the light of the black Sun and the green ray.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